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275A61">
        <w:rPr>
          <w:rFonts w:ascii="Times New Roman" w:hAnsi="Times New Roman" w:cs="Times New Roman"/>
          <w:b/>
          <w:sz w:val="36"/>
          <w:szCs w:val="36"/>
          <w:u w:val="single"/>
        </w:rPr>
        <w:t>23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275A61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275A61" w:rsidRPr="00041ACD" w:rsidRDefault="00275A61" w:rsidP="00275A61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 xml:space="preserve">Construcción de salón de usos múltiples/comedor, sala de psicomotricidad, 5 aulas, espacios exteriores propios y cancha para los tres centros educativos </w:t>
      </w:r>
    </w:p>
    <w:p w:rsidR="00DC1A66" w:rsidRPr="00275A61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275A61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ESCUELA Nº 80 YOUNG, RÍO NEGRO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CND-PyS/PyS</w:t>
      </w:r>
      <w:r w:rsidR="00275A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/10/163</w:t>
      </w:r>
      <w:bookmarkStart w:id="0" w:name="_GoBack"/>
      <w:bookmarkEnd w:id="0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/2017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75A61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F5CEC7-F51A-476C-BC79-F75ABCC16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136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29</cp:revision>
  <dcterms:created xsi:type="dcterms:W3CDTF">2015-01-29T02:08:00Z</dcterms:created>
  <dcterms:modified xsi:type="dcterms:W3CDTF">2018-07-26T18:18:00Z</dcterms:modified>
</cp:coreProperties>
</file>